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ОДОБРЕНЫ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 1 июля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 2026 года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0" w:firstLine="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для разработки административных регламентов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предоставления на территории Ленинградской области муниципальной услуги «Предоставление разрешения на отклонение от предельных параметров разрешенного строительства, реконструкции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объектов капитального строительства»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на территории ____________________ 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(указывается наименование единицы территориального деления, на которой орган местного самоуправления предоставляет муниципальную услугу)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(далее – Административный  регламент, муниципальная услуга)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1. Общие положения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1.1. Предмет  регулирования.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Административный регламент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определяет стандарт, сроки и последовательность действий (административных процедур) при осуществлении полномочий по выдаче разрешения на отклонение от предельных параметров разрешенного строительства, реконструкции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(далее – Разрешение).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Настоящий Административный регламент регулирует отношения, возникающие в связи с предоставлением муниципальной услуги «Предоставление разрешения на отклонение от предельных параметров разрешенного строительства, реконструкции объекто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 капитального строительства» (далее – муниципальная услуга, услуга) в соответствии со статьей 40 Градостроительного кодекса Российской Федерации (далее – ГрК РФ) в части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ешений, принимаемых применительно к земельным участкам, для которых установлены виды разрешенного использования земельных участков "для индивидуального жилищного строительства", "для ведения личного подсобного хозяйства (приусадебный земельный участок)" и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"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ведение садоводства", или земельным участкам, в отношении которых приняты решения об установлении соответствия между разрешенным использованием земельного участка и одним из вышеуказанных видов разрешенного использования земельных участков либо решения об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изменении вида разрешенного использования земельного участка на один из вышеуказанных видов разрешенного использования земельных участков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1.2. Круг заявителей.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Заявителя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ми, имеющими право на получение муниципальной услуги, являются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е характеристики которых неблагоприятны для застройки, либо правообладатели земельных участков в случае, если отклонение от предельных параметров разрешенного строительства, реконструкции объектов капитального строительства необходимо в целях однократного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Интересы заявителей могут представлять лица, обладающие соответствующими полномочиями (далее – уполномоченный представитель).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качестве уполномоченного представителя заявителя может быть лицо, указанное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в </w:t>
      </w:r>
      <w:hyperlink r:id="rId9" w:tooltip="https://docs.cntd.ru/document/902228011#A8I0NL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части 2 статьи 5 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Ф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е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д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е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р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л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ь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н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г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з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к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н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от 27.07.2010 № 210-ФЗ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"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Об организации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предоставления госуда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рственных и муниципальных услуг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"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single"/>
          </w:rPr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>
        <w:rPr>
          <w:rFonts w:ascii="Times New Roman" w:hAnsi="Times New Roman" w:cs="Times New Roman"/>
          <w:sz w:val="28"/>
          <w:u w:val="single"/>
          <w:shd w:val="clear" w:color="auto" w:fill="ffffff"/>
        </w:rPr>
        <w:t xml:space="preserve">1.3. Муниципальная услуга предоставляется в соответствии с категориями (признаками) заявителей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(далее – Единый портал, ЕПГУ).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2. Стандарт предоставления  муниципальной 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2.1. Наименование  муниципальной 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– «Предоставление разрешения на отклонение от предельных параметров разрешенного строительства, реконструкции объектов капитального строительства» (далее – муниципальная услуга).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2.2. Наименование органа, предоставляющего муниципальную услугу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Муниципальную услугу предоставляет: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Администрация «________________» Ленинградской области (далее – Администрация).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yellow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Заявление о предоставлении разрешения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(на основании части 3 статьи 40, части 6 статьи 31 Градостроительного кодекса Российской Федерации) направляется в Комиссию по подготовке проекта правил землепользования и застройки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(далее – Комиссия).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2.3. Результат  предоставления муниципальной услуги: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Результатами предоставления муниципальной услуги являются: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(примерная форма приведена в приложении к настоящему Административному регламенту) (далее – Разреше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ние);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решение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(примерная форма приведена в приложении к настоящему Административному регламенту).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предоставляется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(в соответствии со способом, указанным заявителем при подаче заявления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и документов):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 личной явке: в Администрации, в филиалах, отделах, удаленных рабочих местах ГБУ ЛО «МФЦ» (выдается заявителю на бумажном носителе);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без личной явки: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почтовым отправлением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бумажном носителе);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через личный кабинет заявителя на ЕПГУ в форме электронного документа, подписанного усиленной квалифицированной электронной подписью уполномоченного должностного лица, через сайт Администрации (при технической реализации)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Если в результате предоставления мун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иципальной услуги при положительном решении формируется реестровая запись в информационной системе, то результат услуги, в том числе номер реестровой записи, направляется и хранится в личном кабинете заявителя на ЕПГУ (при наличии технической возможности).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Результат предоставления услуги (его копия или сведения, содержащиеся в нем), предусмотренный подпунктом «а» пункта 2.3 настоящего Административного регламента, в течение пяти рабоч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их дней со дня его выдачи заявителю подлежит направлению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уполномоченные на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его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размещение в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осударственн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информационн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систем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обеспечения градостроительной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деятельности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Ленинградской области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органы местного самоуправления городских округов, муниципальных округов, муниципальных районов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соответственно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2.4. Срок предоставления  муниципальной услуги.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Максимальный срок предоставления услуги составляет не более 68 рабочих дней с даты поступления заявления о предоставлении муниципальной услуги в Администрацию.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2.5. Размер платы, взимаемой с заявителя  при предоставлении муниципальной услуги, и способы ее взимания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основании части 4 статьи 40 ГрК РФ 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а, несет физическое или юридическое лицо, заинтересованное в предоставлении такого разрешения.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highlight w:val="none"/>
        </w:rPr>
      </w:r>
      <w:r>
        <w:rPr>
          <w:rFonts w:ascii="Times New Roman" w:hAnsi="Times New Roman" w:cs="Times New Roman"/>
          <w:sz w:val="28"/>
          <w:highlight w:val="none"/>
        </w:rPr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u w:val="single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услуги,</w:t>
      </w:r>
      <w:r>
        <w:t xml:space="preserve"> </w:t>
      </w:r>
      <w:r>
        <w:rPr>
          <w:rFonts w:ascii="Times New Roman" w:hAnsi="Times New Roman" w:cs="Times New Roman"/>
          <w:sz w:val="28"/>
        </w:rPr>
        <w:t xml:space="preserve">в случае обращения заявителя непосредственно в Администрацию или ГБУ ЛО «МФЦ», составляет не более 15 минут.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2.7. Срок регистрации запроса заявителя о предоставлении  муниципальной услуги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Срок регистрации заявления в Комиссии составляет: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1"/>
        <w:ind w:firstLine="709"/>
        <w:jc w:val="both"/>
      </w:pPr>
      <w:r>
        <w:t xml:space="preserve">при личном обращении – в день поступления заявления;</w:t>
      </w:r>
      <w:r/>
    </w:p>
    <w:p>
      <w:pPr>
        <w:pStyle w:val="841"/>
        <w:ind w:firstLine="709"/>
        <w:jc w:val="both"/>
      </w:pPr>
      <w:r>
        <w:t xml:space="preserve">при направлении заявления почтовой связью – в день поступления заявления;</w:t>
      </w:r>
      <w:r/>
    </w:p>
    <w:p>
      <w:pPr>
        <w:pStyle w:val="841"/>
        <w:ind w:firstLine="709"/>
        <w:jc w:val="both"/>
      </w:pPr>
      <w:r>
        <w:t xml:space="preserve">при направлении заявления на бумажном носителе из МФЦ в </w:t>
      </w:r>
      <w:r>
        <w:t xml:space="preserve">Комиссию</w:t>
      </w:r>
      <w:r>
        <w:t xml:space="preserve"> </w:t>
      </w:r>
      <w:r>
        <w:t xml:space="preserve">– в день передачи документов из МФЦ в </w:t>
      </w:r>
      <w:r>
        <w:t xml:space="preserve">Комиссию</w:t>
      </w:r>
      <w:r>
        <w:t xml:space="preserve">;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заявления в форме электронного документа посредством ЕПГУ </w:t>
      </w:r>
      <w:r>
        <w:rPr>
          <w:rFonts w:ascii="Times New Roman" w:hAnsi="Times New Roman" w:cs="Times New Roman"/>
          <w:sz w:val="28"/>
          <w:szCs w:val="28"/>
        </w:rPr>
        <w:t xml:space="preserve"> – в день поступления заявления на ЕПГУ </w:t>
      </w:r>
      <w:r>
        <w:rPr>
          <w:rFonts w:ascii="Times New Roman" w:hAnsi="Times New Roman" w:cs="Times New Roman"/>
          <w:sz w:val="28"/>
          <w:szCs w:val="28"/>
        </w:rPr>
        <w:t xml:space="preserve">или на следующий </w:t>
      </w:r>
      <w:r>
        <w:rPr>
          <w:rFonts w:ascii="Times New Roman" w:hAnsi="Times New Roman" w:cs="Times New Roman"/>
          <w:sz w:val="28"/>
          <w:szCs w:val="28"/>
        </w:rPr>
        <w:t xml:space="preserve">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left="0" w:right="0" w:firstLine="84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2.10.1. Услуги, которые являются необходимыми и обязательными для предоставления муниципальной услуги по выдаче градостроительного плана земельного участка, законодательством Российской Федерации не предусмотрены.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sz w:val="28"/>
        </w:rPr>
        <w:t xml:space="preserve">2.10.2. Для предоставления муниципальной услуги используются информационные системы: Единый портал государственных и 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ципальных услуг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(Единый портал), СМЭВ,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Государственная информационная система обеспечения градостроительной деятельности Ленинградской области (ГИСОГД ЛО).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 xml:space="preserve">2.10.3. Предоставление результат</w:t>
      </w:r>
      <w:r>
        <w:rPr>
          <w:rFonts w:ascii="Times New Roman" w:hAnsi="Times New Roman" w:cs="Times New Roman"/>
          <w:sz w:val="28"/>
        </w:rPr>
        <w:t xml:space="preserve">ов муниципальной услуги в отношении несовершеннолетнего, оформленных в фор</w:t>
      </w:r>
      <w:r>
        <w:rPr>
          <w:rFonts w:ascii="Times New Roman" w:hAnsi="Times New Roman" w:cs="Times New Roman"/>
          <w:sz w:val="28"/>
          <w:szCs w:val="28"/>
        </w:rPr>
        <w:t xml:space="preserve">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10" w:tooltip="https://login.consultant.ru/link/?req=doc&amp;amp;amp;amp;amp;amp;base=SPB&amp;amp;amp;amp;amp;amp;n=311791&amp;amp;amp;amp;amp;amp;dst=100657" w:history="1"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</w:t>
      </w:r>
      <w:r>
        <w:rPr>
          <w:rFonts w:ascii="Times New Roman" w:hAnsi="Times New Roman" w:cs="Times New Roman"/>
          <w:sz w:val="28"/>
          <w:szCs w:val="28"/>
        </w:rPr>
        <w:t xml:space="preserve">учетом требования, предусмотренного </w:t>
      </w:r>
      <w:hyperlink r:id="rId11" w:tooltip="https://login.consultant.ru/link/?req=doc&amp;amp;amp;amp;amp;amp;base=LAW&amp;amp;amp;amp;amp;amp;n=494996&amp;amp;amp;amp;amp;amp;dst=427" w:history="1"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27.07.2010 № 210-ФЗ 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выразил письменно желание получить зап</w:t>
      </w:r>
      <w:r>
        <w:rPr>
          <w:rFonts w:ascii="Times New Roman" w:hAnsi="Times New Roman" w:cs="Times New Roman"/>
          <w:sz w:val="28"/>
        </w:rPr>
        <w:t xml:space="preserve">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</w:rPr>
        <w:t xml:space="preserve">, р</w:t>
      </w:r>
      <w:r>
        <w:rPr>
          <w:rFonts w:ascii="Times New Roman" w:hAnsi="Times New Roman" w:cs="Times New Roman"/>
          <w:sz w:val="28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2.10.4.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В многофункциональном центре осуществляется выд</w:t>
      </w:r>
      <w:r>
        <w:rPr>
          <w:rFonts w:ascii="Times New Roman" w:hAnsi="Times New Roman" w:cs="Times New Roman"/>
          <w:sz w:val="28"/>
        </w:rPr>
        <w:t xml:space="preserve">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заявителем, приведен в Разделе </w:t>
      </w:r>
      <w:r>
        <w:rPr>
          <w:rFonts w:ascii="Times New Roman" w:hAnsi="Times New Roman" w:cs="Times New Roman"/>
          <w:sz w:val="28"/>
          <w:lang w:val="en-US"/>
        </w:rPr>
        <w:t xml:space="preserve">I</w:t>
      </w:r>
      <w:r>
        <w:rPr>
          <w:rFonts w:ascii="Times New Roman" w:hAnsi="Times New Roman" w:cs="Times New Roman"/>
          <w:sz w:val="28"/>
        </w:rPr>
        <w:t xml:space="preserve"> Таблицы № 2 Приложения к настоящему Административному регламенту</w:t>
      </w:r>
      <w:r>
        <w:rPr>
          <w:rFonts w:ascii="Times New Roman" w:hAnsi="Times New Roman" w:cs="Times New Roman"/>
          <w:color w:val="000000"/>
          <w:sz w:val="28"/>
        </w:rPr>
        <w:t xml:space="preserve">.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ьной услуги, которые подлежат представлению в рамках межведомственного информационного взаимодействия, и которые заявитель вправе представ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ить по собственной инициативе, приведен в Разделе II Таблицы № 2 </w:t>
      </w:r>
      <w:r>
        <w:rPr>
          <w:rFonts w:ascii="Times New Roman" w:hAnsi="Times New Roman" w:cs="Times New Roman"/>
          <w:sz w:val="28"/>
        </w:rPr>
        <w:t xml:space="preserve">Приложения к настоящему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Административному регламенту.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</w:r>
      <w:hyperlink r:id="rId12" w:tooltip="https://login.consultant.ru/link/?req=doc&amp;amp;amp;amp;amp;base=LAW&amp;amp;amp;amp;amp;n=508991&amp;amp;amp;amp;amp;dst=100209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Формы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заявления и до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кументов приведены в приложении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к настоящему регламенту.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u w:val="single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 (в том числе </w:t>
      </w:r>
      <w:r>
        <w:rPr>
          <w:rFonts w:ascii="Times New Roman" w:hAnsi="Times New Roman" w:cs="Times New Roman"/>
          <w:sz w:val="28"/>
        </w:rPr>
        <w:t xml:space="preserve">представленных в электронной ф</w:t>
      </w:r>
      <w:r>
        <w:rPr>
          <w:rFonts w:ascii="Times New Roman" w:hAnsi="Times New Roman" w:cs="Times New Roman"/>
          <w:sz w:val="28"/>
        </w:rPr>
        <w:t xml:space="preserve">орме),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 приведены в Таблице № 3 Приложения к настоящему Административному регламенту.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/>
    </w:p>
    <w:p>
      <w:pPr>
        <w:ind w:left="0" w:right="0" w:firstLine="70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70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70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3. Состав, последовательность  и сроки выполнения административных  процедур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3.1. Перечень осуществляемых при </w:t>
      </w:r>
      <w:r>
        <w:rPr>
          <w:rFonts w:ascii="Times New Roman" w:hAnsi="Times New Roman" w:cs="Times New Roman"/>
          <w:sz w:val="28"/>
        </w:rPr>
        <w:t xml:space="preserve">предоставлении </w:t>
      </w:r>
      <w:r>
        <w:rPr>
          <w:rFonts w:ascii="Times New Roman" w:hAnsi="Times New Roman" w:cs="Times New Roman"/>
          <w:sz w:val="28"/>
        </w:rPr>
        <w:t xml:space="preserve">муниципальной</w:t>
      </w:r>
      <w:r>
        <w:rPr>
          <w:rFonts w:ascii="Times New Roman" w:hAnsi="Times New Roman" w:cs="Times New Roman"/>
          <w:sz w:val="28"/>
        </w:rPr>
        <w:t xml:space="preserve"> услуги </w:t>
      </w:r>
      <w:r>
        <w:rPr>
          <w:rFonts w:ascii="Times New Roman" w:hAnsi="Times New Roman" w:cs="Times New Roman"/>
          <w:sz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б) прием заявления и документов;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/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По результ</w:t>
      </w:r>
      <w:r>
        <w:rPr>
          <w:rFonts w:ascii="Times New Roman" w:hAnsi="Times New Roman" w:cs="Times New Roman"/>
          <w:sz w:val="28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/>
    </w:p>
    <w:p>
      <w:pPr>
        <w:ind w:left="0" w:right="0" w:firstLine="700"/>
        <w:jc w:val="both"/>
        <w:spacing w:before="0" w:after="0" w:line="279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Идентификаторы категорий (признаков) заявителей приведены в Таблице 1 Приложения к настоящему Административному регламенту.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3.3. Прием заявления и документов, необходимых для предоставления муниципальной услуги.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приведены в Таблице № 2 Приложения настоящего Административного регламента.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 целях предоставления муниципальной усл</w:t>
      </w:r>
      <w:r>
        <w:rPr>
          <w:rFonts w:ascii="Times New Roman" w:hAnsi="Times New Roman" w:cs="Times New Roman"/>
          <w:sz w:val="28"/>
        </w:rPr>
        <w:t xml:space="preserve">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</w:t>
      </w:r>
      <w:r>
        <w:rPr>
          <w:rFonts w:ascii="Times New Roman" w:hAnsi="Times New Roman" w:cs="Times New Roman"/>
          <w:sz w:val="28"/>
        </w:rPr>
        <w:t xml:space="preserve">редством идентификации и аутентификации,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</w:t>
      </w:r>
      <w:r>
        <w:rPr>
          <w:rFonts w:ascii="Times New Roman" w:hAnsi="Times New Roman" w:cs="Times New Roman"/>
          <w:sz w:val="28"/>
        </w:rPr>
        <w:t xml:space="preserve">физических лиц с использованием биометрических персонал</w:t>
      </w:r>
      <w:r>
        <w:rPr>
          <w:rFonts w:ascii="Times New Roman" w:hAnsi="Times New Roman" w:cs="Times New Roman"/>
          <w:sz w:val="28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2) информационных технологий, предусмотренных </w:t>
      </w:r>
      <w:hyperlink r:id="rId13" w:tooltip="https://login.consultant.ru/link/?req=doc&amp;amp;amp;amp;amp;base=LAW&amp;amp;amp;amp;amp;n=494999&amp;amp;amp;amp;amp;dst=100189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статьями 9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, </w:t>
      </w:r>
      <w:hyperlink r:id="rId14" w:tooltip="https://login.consultant.ru/link/?req=doc&amp;amp;amp;amp;amp;base=LAW&amp;amp;amp;amp;amp;n=494999&amp;amp;amp;amp;amp;dst=100202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10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и </w:t>
      </w:r>
      <w:hyperlink r:id="rId15" w:tooltip="https://login.consultant.ru/link/?req=doc&amp;amp;amp;amp;amp;base=LAW&amp;amp;amp;amp;amp;n=494999&amp;amp;amp;amp;amp;dst=100243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14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Федерального закона №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572-ФЗ.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</w:t>
      </w:r>
      <w:r>
        <w:rPr>
          <w:rFonts w:ascii="Times New Roman" w:hAnsi="Times New Roman" w:cs="Times New Roman"/>
          <w:sz w:val="28"/>
        </w:rPr>
        <w:t xml:space="preserve">а         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Срок регистрации заявления составляет: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1"/>
        <w:ind w:firstLine="709"/>
        <w:jc w:val="both"/>
      </w:pPr>
      <w:r>
        <w:t xml:space="preserve">при личном обращении – в день поступления заявления;</w:t>
      </w:r>
      <w:r/>
    </w:p>
    <w:p>
      <w:pPr>
        <w:pStyle w:val="841"/>
        <w:ind w:firstLine="709"/>
        <w:jc w:val="both"/>
      </w:pPr>
      <w:r>
        <w:t xml:space="preserve">при направлении заявления почтовой связью – в день поступления заявления;</w:t>
      </w:r>
      <w:r/>
    </w:p>
    <w:p>
      <w:pPr>
        <w:pStyle w:val="841"/>
        <w:ind w:firstLine="709"/>
        <w:jc w:val="both"/>
      </w:pPr>
      <w:r>
        <w:t xml:space="preserve">при направлении заявления на бумажном носителе из МФЦ в </w:t>
      </w:r>
      <w:r>
        <w:t xml:space="preserve">Комиссию</w:t>
      </w:r>
      <w:r>
        <w:t xml:space="preserve"> </w:t>
      </w:r>
      <w:r>
        <w:t xml:space="preserve">– в день передачи документов из МФЦ в </w:t>
      </w:r>
      <w:r>
        <w:t xml:space="preserve">Комиссию</w:t>
      </w:r>
      <w:r>
        <w:t xml:space="preserve">;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заявления в форме электронного документа посредством ЕПГУ </w:t>
      </w:r>
      <w:r>
        <w:rPr>
          <w:rFonts w:ascii="Times New Roman" w:hAnsi="Times New Roman" w:cs="Times New Roman"/>
          <w:sz w:val="28"/>
          <w:szCs w:val="28"/>
        </w:rPr>
        <w:t xml:space="preserve"> – в день поступления заявления на ЕПГУ </w:t>
      </w:r>
      <w:r>
        <w:rPr>
          <w:rFonts w:ascii="Times New Roman" w:hAnsi="Times New Roman" w:cs="Times New Roman"/>
          <w:sz w:val="28"/>
          <w:szCs w:val="28"/>
        </w:rPr>
        <w:t xml:space="preserve">или на следующий </w:t>
      </w:r>
      <w:r>
        <w:rPr>
          <w:rFonts w:ascii="Times New Roman" w:hAnsi="Times New Roman" w:cs="Times New Roman"/>
          <w:sz w:val="28"/>
          <w:szCs w:val="28"/>
        </w:rPr>
        <w:t xml:space="preserve">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3.4. Межведомственное  информационное взаимодействие.</w:t>
      </w:r>
      <w:r/>
    </w:p>
    <w:p>
      <w:pPr>
        <w:pStyle w:val="841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ОМСУ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запрашивает в рамках межведомственного взаимодействия с </w:t>
      </w:r>
      <w:r>
        <w:rPr>
          <w:rFonts w:ascii="Times New Roman" w:hAnsi="Times New Roman" w:cs="Times New Roman"/>
          <w:sz w:val="28"/>
        </w:rPr>
        <w:t xml:space="preserve">использованием федеральной государственной информационной системы «Единая система межведомственного электронного взаимодействия»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1"/>
        <w:ind w:firstLine="709"/>
        <w:jc w:val="both"/>
        <w:rPr>
          <w:color w:val="000000" w:themeColor="text1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</w:rPr>
        <w:t xml:space="preserve">1) выписку из Единого государственного реестра недвижимости на Земельный участок для определения правообладателя из Федеральной службы государственной регистрации, кадастра и картографии;</w:t>
      </w:r>
      <w:r>
        <w:rPr>
          <w:color w:val="000000" w:themeColor="text1"/>
          <w14:ligatures w14:val="none"/>
        </w:rPr>
      </w:r>
      <w:r>
        <w:rPr>
          <w:color w:val="000000" w:themeColor="text1"/>
          <w14:ligatures w14:val="none"/>
        </w:rPr>
      </w:r>
    </w:p>
    <w:p>
      <w:pPr>
        <w:pStyle w:val="841"/>
        <w:ind w:firstLine="709"/>
        <w:jc w:val="both"/>
        <w:rPr>
          <w:color w:val="000000" w:themeColor="text1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</w:rPr>
        <w:t xml:space="preserve">2) выписку из Единого государственного реестра недвижимости на Объект из Федеральной службы государственной регистрации, кадастра и картографии;</w:t>
      </w:r>
      <w:r>
        <w:rPr>
          <w:color w:val="000000" w:themeColor="text1"/>
          <w14:ligatures w14:val="none"/>
        </w:rPr>
      </w:r>
      <w:r>
        <w:rPr>
          <w:color w:val="000000" w:themeColor="text1"/>
          <w14:ligatures w14:val="none"/>
        </w:rPr>
      </w:r>
    </w:p>
    <w:p>
      <w:pPr>
        <w:pStyle w:val="841"/>
        <w:ind w:firstLine="709"/>
        <w:jc w:val="both"/>
        <w:rPr>
          <w:color w:val="000000" w:themeColor="text1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</w:rPr>
        <w:t xml:space="preserve">3) в случае обращения юридического лица запрашивается выписка из Единого государственного реестра юридических лиц из Федеральной налоговой службы;</w:t>
      </w:r>
      <w:r>
        <w:rPr>
          <w:color w:val="000000" w:themeColor="text1"/>
          <w14:ligatures w14:val="none"/>
        </w:rPr>
      </w:r>
      <w:r>
        <w:rPr>
          <w:color w:val="000000" w:themeColor="text1"/>
          <w14:ligatures w14:val="none"/>
        </w:rPr>
      </w:r>
    </w:p>
    <w:p>
      <w:pPr>
        <w:pStyle w:val="841"/>
        <w:ind w:firstLine="709"/>
        <w:jc w:val="both"/>
        <w:rPr>
          <w:color w:val="000000" w:themeColor="text1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</w:rPr>
        <w:t xml:space="preserve">4) 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службы.</w:t>
      </w:r>
      <w:r>
        <w:rPr>
          <w:color w:val="000000" w:themeColor="text1"/>
          <w14:ligatures w14:val="none"/>
        </w:rPr>
      </w:r>
      <w:r>
        <w:rPr>
          <w:color w:val="000000" w:themeColor="text1"/>
          <w14:ligatures w14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Документы (их копии или сведения, содержащиеся в них) предоставляются </w:t>
      </w:r>
      <w:r>
        <w:rPr>
          <w:rFonts w:ascii="Times New Roman" w:hAnsi="Times New Roman" w:cs="Times New Roman"/>
          <w:sz w:val="28"/>
        </w:rPr>
        <w:t xml:space="preserve">государственными органами и подведомственными государственным органам организациями, в распоряжении которых находятся указанные документы, </w:t>
      </w:r>
      <w:r>
        <w:rPr>
          <w:rFonts w:ascii="Times New Roman" w:hAnsi="Times New Roman" w:cs="Times New Roman"/>
          <w:sz w:val="28"/>
        </w:rPr>
        <w:t xml:space="preserve">без использования федеральной государственной информационной системы «Единая система межведомственного электронного взаимодействия» </w:t>
      </w:r>
      <w:r>
        <w:rPr>
          <w:rFonts w:ascii="Times New Roman" w:hAnsi="Times New Roman" w:cs="Times New Roman"/>
          <w:sz w:val="28"/>
        </w:rPr>
        <w:t xml:space="preserve">в срок не позднее пяти рабочих дней со дня получения соответствующего межведомственного запроса.</w:t>
      </w:r>
      <w:r/>
    </w:p>
    <w:p>
      <w:pPr>
        <w:ind w:left="0" w:right="0" w:firstLine="700"/>
        <w:jc w:val="both"/>
        <w:spacing w:before="0" w:after="0" w:line="279" w:lineRule="atLeast"/>
        <w:rPr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cs="Times New Roman"/>
          <w:sz w:val="28"/>
          <w:u w:val="single"/>
        </w:rPr>
        <w:t xml:space="preserve">3.5. Принятие решения о предоставлении (отказе в предоставлении) муниципальной услуги: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3.6. Предоставление результата муниципальной 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Результат предоставления услуги в соответствии с выбранным заявителем способом получения результата предоставления услуги </w:t>
      </w:r>
      <w:r>
        <w:rPr>
          <w:rFonts w:ascii="Times New Roman" w:hAnsi="Times New Roman" w:cs="Times New Roman"/>
          <w:sz w:val="28"/>
        </w:rPr>
        <w:t xml:space="preserve">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ЕПГУ;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выдается заявителю на бумажном носителе при личном обращении в Комиссию, МФЦ либо направляется заявителю посредством почтового отправления.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</w:rPr>
        <w:t xml:space="preserve">пребывания</w:t>
      </w:r>
      <w:r>
        <w:rPr>
          <w:rFonts w:ascii="Times New Roman" w:hAnsi="Times New Roman" w:cs="Times New Roman"/>
          <w:sz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</w:r>
      <w:r/>
    </w:p>
    <w:p>
      <w:pPr>
        <w:ind w:left="0" w:right="0" w:firstLine="709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4.Способы  информирования заявителя об  изменении статуса рассмотрения  запроса о предоставлении муниципальной услуги.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Перечень способов информирования заявителя об изменении </w:t>
      </w:r>
      <w:r>
        <w:rPr>
          <w:rFonts w:ascii="Times New Roman" w:hAnsi="Times New Roman" w:cs="Times New Roman"/>
          <w:sz w:val="28"/>
        </w:rPr>
        <w:t xml:space="preserve">статуса рассмотрения заявления: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а) посредством Единого портала.</w:t>
      </w:r>
      <w:r>
        <w:rPr>
          <w:rFonts w:ascii="Times New Roman" w:hAnsi="Times New Roman" w:cs="Times New Roman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u w:val="single"/>
        </w:rPr>
        <w:t xml:space="preserve">«Предоставление разрешения на отклонение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u w:val="single"/>
        </w:rPr>
        <w:t xml:space="preserve">от предельных параметров разрешенного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u w:val="single"/>
        </w:rPr>
        <w:t xml:space="preserve">строительства, реконструкции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u w:val="single"/>
        </w:rPr>
        <w:t xml:space="preserve">объектов капитального строительства»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Идентификаторы категорий (признаков) заявителей,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результата, за предоставлением которого обратился заявитель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1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399"/>
        <w:gridCol w:w="2281"/>
        <w:gridCol w:w="2273"/>
        <w:gridCol w:w="2402"/>
      </w:tblGrid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1. Заявитель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Признак заявителя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Значение признака заявителя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Физическое лицо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Физическое лицо, правообладатель земельного участка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(в том числе – индивидуальный  предприниматель)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Юридическое лицо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Юридическое лицо, правообладатель земельного участка.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Заявитель – лицо, имеющее право действовать от имени юридического лица без доверенности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2. Представитель  заявителя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Уполномоченный представитель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Лицо, имеющее право в соответствии с законодательством РФ либо в силу наделения его заявителями в порядке, установленном законодательством РФ, полномочиями выступать от имени физического лица, юридического лица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3. Идентификаторы  результата, за предоставлением  которого обратился заявитель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отдельного признака заявителя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Результат предоставления муниципальной услуги по целям обращения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Получение разрешения на отклонение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предельных параметров разрешенного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строительства, реконструкции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объектов капитального строительства (далее – Разрешение)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Исправление допущенных опечаток и (или) ошибок в Разрешении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4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Выдача дубликата Разрешения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4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Заявитель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4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Представитель заявителя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4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2В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Исчерпывающий перечень документов,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необходимых для предоставления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u w:val="single"/>
        </w:rPr>
        <w:t xml:space="preserve">Условные обозначения: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а) [Все] – документы представляются всеми заявителями, обращающимися за получением муниципальной услуги;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б) П(з) – представитель заявителя;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в) Л – документы подаются при личной явке;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г) ПС – документы подаются посредством почтовой связи;</w:t>
      </w:r>
      <w:r/>
    </w:p>
    <w:p>
      <w:pPr>
        <w:pStyle w:val="83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д) ЕПГУ – документы подаются посредством ЕПГУ;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  <w:t xml:space="preserve">ГБУ ЛО «МФЦ» – документы подаются посредством ГБУ ЛО «МФЦ»;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ж) О – представляется оригинал документа;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з) О(э) – представляется оригинал документа в электронной форме;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и) К – представляется копия документа;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к) К(э) – представляется копия документа в электронной форме;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л) Д(1) – документы представляются в одном экземпляре.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2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807"/>
        <w:gridCol w:w="3913"/>
        <w:gridCol w:w="2040"/>
        <w:gridCol w:w="1191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Идентификаторы категорий (признаков) заявителей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Перечень необходимых для предоставления муниципальной услуги документов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Способы подачи документов, требования к представлению документов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Иные требования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о выдаче Разрешения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удостоверяющий личность заявителя или представителя заявителя, в случае представления заявления о выдаче Разрешения и прилагаемых к нему документов посредством личного обращения в Администрацию, в том числе через ГБУ ЛО «МФЦ».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случае представления документов в электронной форме посредством ЕПГУ, представление указанного документа не требуется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 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ЕПГУ, указанный документ, выданн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ляющимся физическим лицом, - усиленной квалифицированной электронной подписью нотариуса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Документы, подтверждающие, что заявитель является правообладателем земельного участка, для которого запрашивается отклонение, и (или) объекта (объектов) капитального строительства, строительство или реконструкция которого (которых) планируется на данном Зе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мельном участке (за исключением сведений, содержащихся в Едином государственном реестре недвижимости);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отклонение от предельных параметров разрешенного строительства, реконструкции объекта капитал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ьного строительства,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при направлении заявления.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Схема земельного участка с отображением границ земельного участка и смежных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земельных участков с указанием кадастровых номеров земельных участков; существующих и планируемых объектов транспортной инфраструктуры (подъездов к рассматриваемому земельному участку), мест парковки автомобилей;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рафическим выделением на рассматриваемом и смежных земельных участках существующей и планируемой застройки с указанием их характеристик (этажность, вид, планировочные ограничения), обозначением сносимых зданий, сооружений, размерных линий отступов от грани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 рассматриваемого земельного участка до планируемой застройки; границ зон действия публичных сервитутов, объектов археологического наследия, сетей инженерного обеспечения.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Схема планировочной организации земельного участка подготавливается  </w:t>
              <w:br/>
              <w:t xml:space="preserve">в масштабе, обеспечивающем читаемость линий и условных обозначений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7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Проектная документация объекта (при наличии)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Результаты инженерных изысканий, выполненных на земельном участке (при наличии; представляется в обязательном порядке в случае, если отклонение запрашивается в связи с неблагоприятными для застройки инженерно-геологическими условиями)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Иные документы (положительное заключение экспертизы проектной документации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и/или заключение, выполненное индивидуальным предпринимателем или юридическим лицом, которое является членом саморегулируемой организации в области архитектурностроительного проектирования), подтверждающие соответствие параметров запрашиваемого.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II.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взаимодействия,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 и которые заявитель вправе представить по собственной инициативе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лем)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III. Исчерпывающий перечень документов для исправления допущенных опечаток и (или) ошибок в Разрешении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1Б, 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об исправлении допущенных опечаток и ошибок в Разрешении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1Б, 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удостоверяющий личность заявителя или представителя заявителя, в случае представления заявления об исправлении допущенных опечаток и ошибок в Разрешении посредством личного обращения в Администрацию, в том числе через ГБУ ЛО «МФЦ» (в случае предс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тавления документов в электронной форме посредством ЕПГУ, представление указанного документа не требуется)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 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1Б, 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исправлением допущенных опечаток и ошибок в Разрешении представителя заявителя). В случае представления документов в электронной форме посредс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твом ЕПГУ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а документ, выданный заявителем, являющимся физическим лицом, - усиленной квалифицированной электронной подписью нотариуса.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IV. Исчерпывающий перечень документов для выдачи дубликата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Разрешения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1В, 2В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о выдаче дубликата Разрешения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1В, 2В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удостоверяющий личность заявителя или представителя заявителя, в случае представления заявления о выдаче дубликата уведомления посредством личного обращения в Администрацию, в том числе через ГБУ ЛО «МФЦ» (в случае представления документов в элек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тронной форме посредством ЕПГУ, представление указанного документа не требуется)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 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1В, 2В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выдачей дубликата Разрешения представителя заявителя). В случае представления документов в электронной форме посредством ЕПГУ указанный докуме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ителем, являющимся физическим лицом, - усиленной квалифицированной электронной подписью нотариуса.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4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*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Предоставление муниципальной услуги в электронной форме включает следующие требования: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документы, прилагаемые заявителем к заявлению о предоставлении муниципальной услуги, представляемые в электронной форме, направляются в следующих форматах: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а) xml - для документов, в отношении которых утверждены формы и требования  по формированию электронных документов в виде файлов в формате xml;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б) doc, docx, odt - для документов с текстовым содержанием, не включающим формулы;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в) 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 случае если оригиналы  документов, прилагаемых к заявлению  о предоставлении муниципальной  услуги, выданы и подписаны Администрацией  на бумажном носителе, допускается  формирование таких документов, представляемых в электронной  форме, путем сканиров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ания непосредственно  с оригинала документа (использование копий не допускается), которое  осуществляется с сохранением  ориентации оригинала документа  в разрешении 300 - 500 dpi (масштаб 1:1) и  всех аутентичных признаков подлинности (графической подпис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 лица, печати, углового штампа бланка), с использованием  следующих режимов: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а) «черно-белый» (при отсутствии в документе графических изображений и (или) цветного текста);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б) «оттенки серого» (при наличии в документе графических изображений, отличных  от цветного графического изображения);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709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или отказа в предоставлении муниципальной услуги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3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Перечень оснований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I. 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заявление о выдаче Разрешения представлено в орган местного самоуправления, в полномочия которого не входит предоставление услуги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неполное заполнение полей в форме заявления о выдаче Разрешения, в том числе в интерактивной форме заявления на Едином портале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Непредставление документов, предусмотренных пунктами 1-5 раздела I Таблицы № 2 Приложения настоящего Административного регламента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3.1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документы содержат подчистки и исправления текста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4.1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4.2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rPr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о выдаче Разрешения и документы, указанные Таблице № 2 Приложения  настоящего Административного регламента, представлены в электронной форме с нарушением требований, установленных в регламенте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5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выявлено несоблюдение установленных статьей 11 Федерального закона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II. Исчерпывающий перечень оснований для приостановления предоставления муниципальной услуги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III. Исчерпывающий перечень оснований для отказа в предоставлении муниципальной услуги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подано лицом, не уполномоченным на осуществление таких действий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Несоответствие испрашиваемого отклонения от предельных параметров разрешенного строительства, реконструкции объекта капитального строительства санитарно-гигиеническим и противопожарным нормам, а также требованиям технических регламентов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Наличие отрицательного заключения по результатам общественных обсуждений или публичных слушаний по вопросу предоставления разрешения на отклонение от предельных параметров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4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Отсутствие у Заявителя прав на земельный участок либо на объект капитального строительства, расположенный в пределах границ территориальной зоны, обозначенной на карте градостроительного зонирования, утвержденной правилами землепользования и застройки соот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ветствующего муниципального образования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5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Несоответствие вида разрешенного использования земельного участка либо объекта капитального строительства градостроительному регламенту, установленному правилами землепользования и застройки соответствующего муниципального образования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6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Земельный участок или объект капитального строительства, в отношении которого запрашивается Разрешение,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ржденных проектом зон охраны объектов культурного наследия федерального, регионального или местного значения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7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8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Запрашиваемое отклонение не соответствует ограничениям использования объектов недвижимости, установленным на приаэродромной территории (при нахождении земельного участка в границах приаэродромной территории)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9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Запрошено Разрешение в отношении объекта капитального строительства, применительно к которому поступило уведомление о выявлении самовольной постройки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10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Запрошено разрешение на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архитектурным реш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ениям объектов капитального строительства в границах территорий исторических поселений федерального или регионального значения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Сведения, указанные в представленных Заявителем документах, не подтверждены сведениями, полученными в рамках межведомственного взаимодействия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IV. Исчерпывающий перечень оснований для отказа в исправлении допущенных опечаток и (или) ошибок в Разрешении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подано лицом, не уполномоченным на осуществление таких действий: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несоответствие заявителя кругу лиц, указанных в пункте 1.2 настоящего Административного регламента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 -2Б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отсутствие факта допущения опечаток и ошибок в Разрешении.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 - 2Б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V. Исчерпывающий перечень оснований для отказа в выдаче дубликата Разрешения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1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подано лицом, не уполномоченным на осуществление таких действий: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несоответствие заявителя  кругу лиц, указанных в пункте 2.2 настоящего Административного  регламента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 – 2В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u w:val="single"/>
        </w:rPr>
        <w:t xml:space="preserve">Формы заявлений, необходимых для предоставления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Образец № 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З А Я В Л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 выдаче разрешения на отклонение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от предельных параметров разрешенного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строительства, реконструкции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объектов капитального строительства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"__" __________ 20___ г.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Комиссию 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подготовке проекта правил землепользования и застройки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муниципального образования ____________________________________________________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82"/>
        <w:gridCol w:w="4950"/>
        <w:gridCol w:w="3422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/>
          </w:tcPr>
          <w:p>
            <w:pPr>
              <w:ind w:left="720" w:right="0" w:hanging="34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     Сведения о заявителе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физическом лице, в случае если заявителем является физическое лицо: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Фамилия, имя, отчество (при наличии)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Реквизиты документа, удостоверяющего личность (не указываются в случае, если заявитель является индивидуальным предпринимателем)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юридическом лице, в случае если заявителем является юридическое лицо: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Полное наименование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Основной государственный регистрационный номер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Идентификационный номер налогоплательщика – юридического лица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Сведения о земельном  участке и (или) объекте капитального строительства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Кадастровый номер земельного участка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Адрес земельного участка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Вид разрешенного использования земельного участка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Кадастровый номер объекта капитального строительства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2.5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Площадь объекта капитального строительства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2.6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Количество этажей объекта капитального строительства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2.7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Назначение объекта капитального строительства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2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Прошу предоставить разрешение на отклонение от предельных параметров разрешенного строительства, реконструкции объекта (объектов) капитального строительства.</w:t>
      </w:r>
      <w:r/>
    </w:p>
    <w:p>
      <w:pPr>
        <w:ind w:left="0" w:right="0" w:firstLine="70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Параметры планируемых к размещению объектов капитального строительства 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Обоснование запрашиваемого отклонения от предельных параметров разрешенного строительства, реконструкции объекта (объектов) капитального строительства (в соответствии с частью 1 статьи 40 ГрК РФ за разрешениями на отклонение от предельных параметров разреш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енного строительства, реконструкции объектов капитального строительства вправе обратиться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нерно-геологические или иные характеристики которых неблагоприятны для застройки)</w:t>
      </w:r>
      <w:r/>
    </w:p>
    <w:p>
      <w:pPr>
        <w:ind w:left="0" w:right="0" w:firstLine="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ind w:left="0" w:right="0" w:firstLine="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заявлению прилагаются следующие документы:</w:t>
      </w:r>
      <w:r/>
    </w:p>
    <w:p>
      <w:pPr>
        <w:ind w:left="0" w:right="0" w:firstLine="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_________________________________________________________________________________________________________________________________________________________________________________________________</w:t>
      </w:r>
      <w:r/>
    </w:p>
    <w:p>
      <w:pPr>
        <w:ind w:left="0" w:right="0" w:firstLine="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(указывается перечень  прилагаемых документов)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__________________________________________________________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Номер телефона и адрес электронной почты для связи: ______________________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 предоставления муниципальной услуги, прошу предоставить одним из следующих способов (выбрать один способ):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01"/>
        <w:gridCol w:w="28"/>
      </w:tblGrid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01" w:type="dxa"/>
            <w:vAlign w:val="top"/>
            <w:textDirection w:val="lrTb"/>
            <w:noWrap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в форме электронного документа в личный кабинет в федеральной государственной информационной системе "Единый портал государственных и муниципальных услуг (функций)"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 расположенный по адресу: _________________________________________________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на бумажном носителе на почтовый адрес: _______________________________________________________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30" w:type="dxa"/>
            <w:vAlign w:val="top"/>
            <w:textDirection w:val="lrTb"/>
            <w:noWrap w:val="false"/>
          </w:tcPr>
          <w:p>
            <w:pPr>
              <w:ind w:left="0" w:right="240" w:firstLine="0"/>
              <w:jc w:val="center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</w:rPr>
              <w:t xml:space="preserve">Указывается один из перечисленных способов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30"/>
        <w:gridCol w:w="269"/>
        <w:gridCol w:w="2141"/>
        <w:gridCol w:w="269"/>
        <w:gridCol w:w="374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30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41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4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3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Образец № 2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538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</w:t>
      </w:r>
      <w:r>
        <w:rPr>
          <w:rFonts w:ascii="Times New Roman" w:hAnsi="Times New Roman" w:eastAsia="Times New Roman" w:cs="Times New Roman"/>
          <w:color w:val="000000"/>
          <w:sz w:val="26"/>
        </w:rPr>
        <w:t xml:space="preserve"> ____________________________________</w:t>
      </w:r>
      <w:r/>
    </w:p>
    <w:p>
      <w:pPr>
        <w:ind w:left="482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заявителя, ОГРНИП (для физического  лица, зарегистрированного в качестве  индивидуального предпринимателя) – для физического лица, полное  наименование заявителя, ИНН, ОГРН  – для юридического лица,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_________________________________________</w:t>
      </w:r>
      <w:r/>
    </w:p>
    <w:p>
      <w:pPr>
        <w:ind w:left="482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 отказе в приеме документов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 органа  местного самоуправления)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приеме документов для предоставления муниципальной услуги «Выдача разрешения на отклонение от предельных параметров разрешенного строительства, реконструкции объектов капитального строительства» Вам отказано по следующим основаниям: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19"/>
        <w:gridCol w:w="4565"/>
        <w:gridCol w:w="3270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 пункта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основания для отказа в соответствии с Административным регламентом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Разъяснение причин отказа в приеме документов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 раздела I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о выдаче разрешения на отклонение от предельных параметров разрешенного строительства, реконструкции объектов капитального строительства (далее – Разрешение) представлено в орган местного самоуправления, в полномочия которого не входит предоставл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ение услуги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Указывается, какое ведомство предоставляет услугу, информация о его местонахождении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2 раздела I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на получение услуги оформлено не в соответствии с административным регламентом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3 раздела I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Указывается исчерпывающий перечень документов, не представленных заявителем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3.1 раздела I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Указывается исчерпывающий перечень документов, утративших силу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4 раздела I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Указывается исчерпывающий перечень документов, содержащих подчистки и исправления текста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4.1 раздела I Таблицы № 3 Приложения 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Указывается исчерпывающий перечень документов, содержащих повреждения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4.2 раздела I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о выдаче Разрешения и документы, указанные Таблице № 2 Приложения  настоящего Административного регламента, представлены в электронной форме с нарушением требований, установленных к электронным документа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(примечание к таблице 2)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5 раздела I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5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Указывается исчерпывающий перечень электронных документов, не соответствующих указанному критерию</w:t>
            </w:r>
            <w:r/>
          </w:p>
        </w:tc>
      </w:tr>
    </w:tbl>
    <w:p>
      <w:pPr>
        <w:ind w:left="0" w:right="0" w:firstLine="70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</w:t>
      </w:r>
      <w:r/>
    </w:p>
    <w:p>
      <w:pPr>
        <w:ind w:left="0" w:right="0" w:firstLine="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  <w:br/>
        <w:t xml:space="preserve">______________________________________________________________________.  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 информация, необходимая для устранения причин  отказа в приеме документов, а  также иная дополнительная информация  при наличии)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42"/>
        <w:gridCol w:w="268"/>
        <w:gridCol w:w="2137"/>
        <w:gridCol w:w="268"/>
        <w:gridCol w:w="373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3960" w:right="0" w:firstLine="560"/>
        <w:jc w:val="right"/>
        <w:spacing w:before="0" w:after="0" w:line="279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Образец № 3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538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 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заявителя, ОГРНИП (для физического  лица, зарегистрированного в качестве  индивидуального предпринимателя) – для физического лица, полное  наименование заявителя, ИНН, ОГРН  – для юридического лица,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 отказе в выдаче разрешения на отклонение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от предельных параметров разрешенного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строительства, реконструкции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объектов капитального строительства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 органа  местного самоуправления)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результатам рассмотрения заявления о выдаче разрешения на отклонение от предельных параметров разрешенного строительства, реконструкции объектов капитального строительства от __________ № __________ принято решение об отказе в выдаче разрешения на откло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нение от предельных параметров разрешенного строительства, реконструкции объектов капитального строительства.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19"/>
        <w:gridCol w:w="3912"/>
        <w:gridCol w:w="3923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 пункта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основания для отказа в соответствии с Административным регламентом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Разъяснение причин отказа в выдаче разрешения на отклонение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предельных параметров разрешенного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строительства, реконструкции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объектов капитального строительства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подано лицом, не уполномоченным на осуществление таких действий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2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Несоответствие испрашиваемого отклонения от предельных параметров разрешенного строительства, реконструкции объекта капитального строительства санитарно-гигиеническим и противопожарным нормам, а также требованиям технических регламентов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Указывается ссылка на соответствующую структурную единицу нормативного правового акта,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3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наличие отрицательного заключения по результатам общественных обсуждений или публичных слушаний по вопросу предоставления разрешения на отклонение от предельных параметров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4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отсутствие у заявителя прав на земельный участок либо на объект капитального строительства, расположенный в пределах границ территориальной зоны, обозначенной на карте градостроительного зонирования, утвержденной правилами землепользования и застройки соот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ветствующего муниципального образования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5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несоответствие вида разрешенного использования земельного участка либо объекта капитального строительства градостроительному регламенту, установленному правилами землепользования и застройки соответствующего муниципального образования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6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земельный участок или объект капитального строительства, в отношении которого запрашивается Разрешение,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ржденных проектом зон охраны объектов культурного наследия федерального, регионального или местного значения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7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8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запрашиваемое отклонение не соответствует ограничениям использования объектов недвижимости, установленным на приаэродромной территории (при нахождении земельного участка в границах приаэродромной  территории)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9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запрошено Разрешение в отношении объекта капитального строительства, применительно к которому поступило уведомление о выявлении самовольной постройки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10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запрошено разрешение на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архитектурным реш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ениям объектов капитального строительства в границах территорий исторических поселений федерального или регионального значения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11 раздела III Таблицы № 2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сведения, указанные в представленных Заявителем документах, не подтверждены сведениями, полученными в рамках межведомственного взаимодействия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вывода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140" w:firstLine="70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Вы вправе повторно обратиться с заявлением о выдаче разрешения на отклонение</w:t>
      </w:r>
      <w:r/>
    </w:p>
    <w:p>
      <w:pPr>
        <w:ind w:left="0" w:right="140" w:firstLine="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предельных параметров разрешенного строительства, реконструкции объектов капитального строительства после устранения указанных нарушений.</w:t>
      </w:r>
      <w:r/>
    </w:p>
    <w:p>
      <w:pPr>
        <w:ind w:left="0" w:right="140" w:firstLine="700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/>
    </w:p>
    <w:p>
      <w:pPr>
        <w:ind w:left="0" w:right="14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 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 </w:t>
        <w:br/>
        <w:t xml:space="preserve">______________________________________________________________________.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</w:t>
      </w: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 информация, необходимая для устранения причин отказа в выдаче Разрешения, а также иная дополнительная информация при наличии)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43"/>
        <w:gridCol w:w="268"/>
        <w:gridCol w:w="2138"/>
        <w:gridCol w:w="268"/>
        <w:gridCol w:w="373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3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3" w:type="dxa"/>
            <w:vAlign w:val="top"/>
            <w:textDirection w:val="lrTb"/>
            <w:noWrap w:val="false"/>
          </w:tcPr>
          <w:p>
            <w:pPr>
              <w:ind w:left="0" w:right="14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8" w:type="dxa"/>
            <w:vAlign w:val="top"/>
            <w:textDirection w:val="lrTb"/>
            <w:noWrap w:val="false"/>
          </w:tcPr>
          <w:p>
            <w:pPr>
              <w:ind w:left="0" w:right="14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8" w:type="dxa"/>
            <w:vAlign w:val="top"/>
            <w:textDirection w:val="lrTb"/>
            <w:noWrap w:val="false"/>
          </w:tcPr>
          <w:p>
            <w:pPr>
              <w:ind w:left="0" w:right="14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140" w:firstLine="0"/>
        <w:spacing w:before="12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Дата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3960" w:right="0" w:firstLine="56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Образец № 4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538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З А Я В Л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об исправлении  допущенных опечаток и ошибок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в разрешении на отклонение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от предельных параметров разрешенного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строительства, реконструкции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объектов капитального строительства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"__" __________ 20___ г.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5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(наименование органа  местного самоуправления)</w:t>
            </w:r>
            <w:r/>
          </w:p>
        </w:tc>
      </w:tr>
    </w:tbl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650"/>
        <w:gridCol w:w="555"/>
        <w:gridCol w:w="1356"/>
        <w:gridCol w:w="3345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148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Сведения о заявителе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физическом лице, в случае если заявителем является физическое лицо: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0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Фамилия, имя, отчество (при наличии)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0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Реквизиты документа, удостоверяющего личность (не указываются в случае, если заявитель является индивидуальным предпринимателем)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0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0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юридическом лице, в случае если заявителем является юридическое лицо: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0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Полное наименование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0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Основной государственный регистрационный номер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0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Идентификационный номер налогоплательщика - юридического лица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0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1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Сведения о выданном 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разрешении на отклонение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предельных параметров разрешенного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строительства, реконструкции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объектов капитального строительства, содержащем опечатку/ ошибку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6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Орган, выдавший разрешение на отклонение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предельных параметров разрешенного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строительства, реконструкции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Номер документа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3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Дата документа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65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1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34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1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Обоснование для внесения  исправлений в 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разрешение на отклонение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предельных параметров разрешенного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строительства, реконструкции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объектов капитального строительства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6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Данные (сведения), указанные в разрешении на отклонение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предельных параметров разрешенного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строительства, реконструкции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объектов капитального строительства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Данные (сведения), которые необходимо указать в разрешении на отклонение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предельных параметров разрешенного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строительства, реконструкции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объектов капитального строительства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3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Обоснование внесения исправлений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65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1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34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Прошу внести исправления в разрешение на отклонение от предельных параметров разрешенного строительства, реконструкции объектов капитального строительства, содержащие опечатку/ошибку.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Номер телефона и адрес электронной почты для связи: _____________________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 рассмотрения настоящего заявления прошу: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415"/>
        <w:gridCol w:w="129"/>
        <w:gridCol w:w="1027"/>
        <w:gridCol w:w="129"/>
        <w:gridCol w:w="6243"/>
        <w:gridCol w:w="390"/>
      </w:tblGrid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4" w:type="dxa"/>
            <w:vAlign w:val="top"/>
            <w:textDirection w:val="lrTb"/>
            <w:noWrap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 расположенный по адресу: ___________________________________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на бумажном носителе на почтовый адрес: 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34" w:type="dxa"/>
            <w:vAlign w:val="top"/>
            <w:textDirection w:val="lrTb"/>
            <w:noWrap w:val="false"/>
          </w:tcPr>
          <w:p>
            <w:pPr>
              <w:ind w:left="0" w:right="240" w:firstLine="0"/>
              <w:jc w:val="center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</w:rPr>
              <w:t xml:space="preserve">Указывается один из перечисленных способов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5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33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</w:r>
      <w:r/>
    </w:p>
    <w:p>
      <w:pPr>
        <w:ind w:left="3960" w:right="0" w:firstLine="560"/>
        <w:jc w:val="right"/>
        <w:spacing w:before="0" w:after="0" w:line="239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Образец № 5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38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 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заявителя, ОГРНИП (для физического  лица, зарегистрированного в качестве  индивидуального предпринимателя) – для физического лица, полное  наименование заявителя, ИНН, ОГРН  – для юридического лица,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 </w:t>
        <w:br/>
        <w:t xml:space="preserve">об отказе во внесении исправлений </w:t>
        <w:br/>
        <w:t xml:space="preserve">в разрешение на отклонение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от предельных параметров разрешенного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строительства, реконструкции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объектов капитального строительства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 органа  местного самоуправления)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результатам рассмотрения заявления об исправлении допущенных опечаток     и     ошибок в разрешении на отклонение от предельных параметров разрешенного строительства, реконструкции объектов капитального строительства от ________________ № ______________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 принято решение об отказе во внесении исправлений в разрешение на отклонение от предельных параметров разрешенного строительства, реконструкции объектов капитального строительства.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19"/>
        <w:gridCol w:w="5093"/>
        <w:gridCol w:w="2742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 пункта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основания для отказа во внесении исправлений в разрешение на отклонение от предельных параметров разрешенного строительства, реконструкции объектов капитального строительства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Разъяснение причин отказа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 раздела IV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несоответствие заявителя кругу лиц, указанных в пункте 1.2 Административного регламента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2 раздела IV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отсутствие факта допущения опечаток и ошибок в разрешении на отклонение от предельных параметров разрешенного строительства, реконструкции объектов капитального строительства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</w:tbl>
    <w:p>
      <w:pPr>
        <w:ind w:left="0" w:right="0" w:firstLine="70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Вы вправе повторно обратиться с заявлением об исправлении допущенных опечаток и ошибок в разрешении на отклонение от предельных параметров разрешенного строительства, реконструкции объектов капитального строительства после устранения указанных нарушений.</w:t>
      </w:r>
      <w:r/>
    </w:p>
    <w:p>
      <w:pPr>
        <w:ind w:left="0" w:right="0" w:firstLine="70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42"/>
        <w:gridCol w:w="268"/>
        <w:gridCol w:w="2137"/>
        <w:gridCol w:w="268"/>
        <w:gridCol w:w="373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Дата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  <w:br w:type="page" w:clear="all"/>
      </w:r>
      <w:r/>
    </w:p>
    <w:p>
      <w:pPr>
        <w:ind w:left="3960" w:right="0" w:firstLine="56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Образец № 6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З А Я В Л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о выдаче  дубликата разрешения на отклонение от предельных параметров разрешенного строительства, реконструкции объектов капитального строительства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"__" __________ 20___ г.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5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(наименование органа  местного самоуправления)</w:t>
            </w:r>
            <w:r/>
          </w:p>
        </w:tc>
      </w:tr>
    </w:tbl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Сведения о заявителе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физическом лице, в случае если заявителем является физическое лицо: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1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Фамилия, имя, отчество (при наличии)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1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Реквизиты документа, удостоверяющего личность (не указываются в случае, если заявитель является индивидуальным предпринимателем)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1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1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юридическом лице, в случае если заявителем является юридическое лицо: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1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Полное наименование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1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Основной государственный регистрационный номер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1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Идентификационный номер налогоплательщика – юридического лица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71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center"/>
            <w:textDirection w:val="lrTb"/>
            <w:noWrap w:val="false"/>
          </w:tcPr>
          <w:p>
            <w:pPr>
              <w:ind w:left="72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Сведения о выданном 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разрешении на отклонение от предельных параметров разрешенного строительства, реконструкции объектов капитального строительства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Орган, выдавший разрешение на отклонение от предельных параметров разрешенного строительства, реконструкции объектов капитального строительства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Номер документа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2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Дата документа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8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9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2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700"/>
        <w:spacing w:before="12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Прошу выдать дубликат разрешения на отклонение от предельных параметров разрешенного строительства, реконструкции объектов капитального строительства.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__________________________________________________________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Номер телефона и адрес электронной почты для связи: ______________________</w:t>
      </w:r>
      <w:r/>
    </w:p>
    <w:p>
      <w:pPr>
        <w:ind w:left="0" w:right="0" w:firstLine="0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 рассмотрения настоящего заявления прошу: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415"/>
        <w:gridCol w:w="129"/>
        <w:gridCol w:w="1027"/>
        <w:gridCol w:w="129"/>
        <w:gridCol w:w="6243"/>
        <w:gridCol w:w="390"/>
      </w:tblGrid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4" w:type="dxa"/>
            <w:vAlign w:val="top"/>
            <w:textDirection w:val="lrTb"/>
            <w:noWrap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</w:t>
            </w:r>
            <w:r>
              <w:rPr>
                <w:rFonts w:ascii="Times New Roman" w:hAnsi="Times New Roman" w:eastAsia="Times New Roman" w:cs="Times New Roman"/>
                <w:strike/>
                <w:color w:val="000000"/>
                <w:sz w:val="24"/>
              </w:rPr>
              <w:t xml:space="preserve">)"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 расположенный по адресу: ___________________________________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на бумажном носителе на почтовый адрес: 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34" w:type="dxa"/>
            <w:vAlign w:val="top"/>
            <w:textDirection w:val="lrTb"/>
            <w:noWrap w:val="false"/>
          </w:tcPr>
          <w:p>
            <w:pPr>
              <w:ind w:left="0" w:right="240" w:firstLine="0"/>
              <w:jc w:val="center"/>
              <w:spacing w:before="120" w:after="12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</w:rPr>
              <w:t xml:space="preserve">Указывается один из перечисленных способов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5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33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Образец № 7</w:t>
      </w: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538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 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заявителя, ОГРНИП (для физического  лица, зарегистрированного в качестве  индивидуального предпринимателя) – для физического лица, полное  наименование заявителя, ИНН, ОГРН  – для юридического лица,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_________________________________________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 </w:t>
        <w:br/>
        <w:t xml:space="preserve">об отказе в выдаче дубликата разрешения на отклонение от предельных параметров разрешенного строительства, реконструкции объектов капитального строительства 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 органа  местного самоуправления)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 результатам рассмотрения заявления о выдаче дубликата разрешения на отклонение от предельных параметров разрешенного строительства, реконструкции объектов капитального строительства от __________________ № _________________ принято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решение об отказе в выдаче дубликата разрешения на отклонение от предельных параметров разрешенного строительства, реконструкции.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059"/>
        <w:gridCol w:w="2793"/>
        <w:gridCol w:w="2502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59" w:type="dxa"/>
            <w:vAlign w:val="top"/>
            <w:textDirection w:val="lrTb"/>
            <w:noWrap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 пункта Административного регламента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основания для отказа в выдаче дубликата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Разъяснение причин отказа в выдаче дубликата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5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 раздела V Таблицы № 3 Приложения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несоответствие заявителя кругу лиц, указанных в пункте 1.2 Административного регламента.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0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</w:tbl>
    <w:p>
      <w:pPr>
        <w:ind w:left="0" w:right="0" w:firstLine="70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Вы вправе повторно обратиться с заявлением о выдаче дубликата разрешения на отклонение от предельных параметров разрешенного строительства, реконструкции объектов капитального строительства после устранения указанного нарушения.</w:t>
      </w:r>
      <w:r/>
    </w:p>
    <w:p>
      <w:pPr>
        <w:ind w:left="0" w:right="0" w:firstLine="70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 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  <w:br/>
        <w:t xml:space="preserve">______________________________________________________________________.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   </w:t>
      </w:r>
      <w:r/>
    </w:p>
    <w:p>
      <w:pPr>
        <w:ind w:left="0" w:right="0" w:firstLine="70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 информация, необходимая для устранения причин  отказа в выдаче дубликата  разрешения на отклонение от предельных параметров разрешенного строительства, реконструкции, а также иная дополнительная информация при наличии)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42"/>
        <w:gridCol w:w="268"/>
        <w:gridCol w:w="2137"/>
        <w:gridCol w:w="268"/>
        <w:gridCol w:w="373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12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Дата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Образец № 8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750"/>
        <w:gridCol w:w="645"/>
        <w:gridCol w:w="435"/>
        <w:gridCol w:w="418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50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Кому: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(Ф.И.О. физического лица  и адрес проживания/наименование  организации и ИНН)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(Ф.И.О. представителя заявителя  и реквизиты доверенности)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Контактная информация: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тел.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2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эл. почта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18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68"/>
        <w:gridCol w:w="1386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РЕШЕНИЕ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об отказе в приеме заявления и документов, необходимых для предоставления муниципальной услуги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Настоящим подтверждается, что при приеме документов, необходимых для предоставления муниципальной услуги,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86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(наименование муниципальной  услуги в соответствии с административным регламентом)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86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были выявлены следующие основания для отказа в приеме документов: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(указываются основания  для отказа в приеме документов, предусмотренные пунктом 2.12 Административного  регламента)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 получения муниципальной услуги заявителю необходимо представить следующие документы: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(указывается перечень  документов в случае, если основанием  для отказа является представление  неполного комплекта документов)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03"/>
        <w:gridCol w:w="2294"/>
        <w:gridCol w:w="2752"/>
        <w:gridCol w:w="132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0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9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5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2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0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(должностное лицо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(специалист МФЦ)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right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(инициалы, фамилия)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right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(дата)</w:t>
            </w:r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М.П.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04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r/>
      <w:r/>
    </w:p>
    <w:p>
      <w:r/>
      <w:r/>
    </w:p>
    <w:p>
      <w:pPr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 (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Примерная форма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)</w:t>
      </w:r>
      <w:r>
        <w:rPr>
          <w:rFonts w:ascii="Times New Roman" w:hAnsi="Times New Roman"/>
          <w:b/>
          <w:bCs/>
          <w:i/>
          <w:sz w:val="28"/>
          <w:szCs w:val="28"/>
        </w:rPr>
      </w:r>
      <w:r>
        <w:rPr>
          <w:rFonts w:ascii="Times New Roman" w:hAnsi="Times New Roman"/>
          <w:i/>
          <w:sz w:val="20"/>
          <w:szCs w:val="20"/>
        </w:rPr>
      </w:r>
    </w:p>
    <w:p>
      <w:pPr>
        <w:ind w:firstLine="0"/>
        <w:jc w:val="center"/>
        <w:tabs>
          <w:tab w:val="left" w:pos="567" w:leader="none"/>
          <w:tab w:val="left" w:pos="4536" w:leader="none"/>
        </w:tabs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Решение</w:t>
      </w:r>
      <w:r>
        <w:rPr>
          <w:rFonts w:ascii="Times New Roman" w:hAnsi="Times New Roman"/>
          <w:b/>
          <w:spacing w:val="-4"/>
          <w:sz w:val="28"/>
          <w:szCs w:val="28"/>
        </w:rPr>
      </w:r>
      <w:r>
        <w:rPr>
          <w:rFonts w:ascii="Times New Roman" w:hAnsi="Times New Roman"/>
          <w:b/>
          <w:spacing w:val="-4"/>
          <w:sz w:val="28"/>
          <w:szCs w:val="28"/>
        </w:rPr>
      </w:r>
    </w:p>
    <w:p>
      <w:pPr>
        <w:ind w:firstLine="0"/>
        <w:jc w:val="center"/>
        <w:tabs>
          <w:tab w:val="left" w:pos="567" w:leader="none"/>
          <w:tab w:val="left" w:pos="4536" w:leader="none"/>
        </w:tabs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о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предоставлении разрешения на 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отклонение от предельных параметров разрешенного строительства, реконструкции объекта капитального строительства</w:t>
      </w:r>
      <w:r>
        <w:rPr>
          <w:rFonts w:ascii="Times New Roman" w:hAnsi="Times New Roman"/>
          <w:b/>
          <w:spacing w:val="-4"/>
          <w:sz w:val="28"/>
          <w:szCs w:val="28"/>
        </w:rPr>
      </w:r>
      <w:r>
        <w:rPr>
          <w:rFonts w:ascii="Times New Roman" w:hAnsi="Times New Roman"/>
          <w:b/>
          <w:spacing w:val="-4"/>
          <w:sz w:val="28"/>
          <w:szCs w:val="28"/>
        </w:rPr>
      </w:r>
    </w:p>
    <w:p>
      <w:pPr>
        <w:ind w:firstLine="0"/>
        <w:tabs>
          <w:tab w:val="left" w:pos="567" w:leader="none"/>
          <w:tab w:val="left" w:pos="453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0"/>
        <w:jc w:val="center"/>
        <w:spacing w:after="474" w:line="280" w:lineRule="exact"/>
        <w:tabs>
          <w:tab w:val="left" w:pos="4819" w:leader="none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от________________№_______________</w:t>
      </w:r>
      <w:r>
        <w:rPr>
          <w:rFonts w:ascii="Times New Roman" w:hAnsi="Times New Roman"/>
          <w:sz w:val="28"/>
          <w:szCs w:val="28"/>
          <w:lang w:bidi="ru-RU"/>
        </w:rPr>
      </w:r>
      <w:r>
        <w:rPr>
          <w:rFonts w:ascii="Times New Roman" w:hAnsi="Times New Roman"/>
          <w:sz w:val="28"/>
          <w:szCs w:val="28"/>
          <w:lang w:bidi="ru-RU"/>
        </w:rPr>
      </w:r>
    </w:p>
    <w:p>
      <w:pPr>
        <w:jc w:val="both"/>
        <w:spacing w:line="235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 соответствии с Градостроительн</w:t>
      </w:r>
      <w:r>
        <w:rPr>
          <w:rFonts w:ascii="Times New Roman" w:hAnsi="Times New Roman"/>
          <w:spacing w:val="-4"/>
          <w:sz w:val="28"/>
          <w:szCs w:val="28"/>
        </w:rPr>
        <w:t xml:space="preserve">ы</w:t>
      </w:r>
      <w:r>
        <w:rPr>
          <w:rFonts w:ascii="Times New Roman" w:hAnsi="Times New Roman"/>
          <w:spacing w:val="-4"/>
          <w:sz w:val="28"/>
          <w:szCs w:val="28"/>
        </w:rPr>
        <w:t xml:space="preserve">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</w:t>
      </w:r>
      <w:r>
        <w:rPr>
          <w:rFonts w:ascii="Times New Roman" w:hAnsi="Times New Roman"/>
          <w:spacing w:val="-4"/>
          <w:sz w:val="28"/>
          <w:szCs w:val="28"/>
        </w:rPr>
        <w:t xml:space="preserve">и _____________, на основании заключения по результатам публичных слушаний/общественных обсуждений от ____________ г. № __________, рекомендации Комиссии по подготовке проекта правил землепользования и застройки (протокол от ____________ г. № __________).</w:t>
      </w:r>
      <w:r>
        <w:rPr>
          <w:rFonts w:ascii="Times New Roman" w:hAnsi="Times New Roman"/>
          <w:spacing w:val="-4"/>
          <w:sz w:val="28"/>
          <w:szCs w:val="28"/>
        </w:rPr>
      </w:r>
      <w:r>
        <w:rPr>
          <w:rFonts w:ascii="Times New Roman" w:hAnsi="Times New Roman"/>
          <w:spacing w:val="-4"/>
          <w:sz w:val="28"/>
          <w:szCs w:val="28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/>
          <w:iCs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1. Предоставить разрешение на </w:t>
      </w:r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  <w:spacing w:val="-4"/>
          <w:sz w:val="28"/>
          <w:szCs w:val="28"/>
        </w:rPr>
        <w:t xml:space="preserve">отклонение от предельных параметров разрешенного строительства, реконструкции объекта капитального строительства </w:t>
      </w:r>
      <w:bookmarkEnd w:id="0"/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>
        <w:rPr>
          <w:rFonts w:ascii="Times New Roman" w:hAnsi="Times New Roman"/>
          <w:i/>
          <w:iCs/>
          <w:spacing w:val="-4"/>
          <w:sz w:val="28"/>
          <w:szCs w:val="28"/>
        </w:rPr>
        <w:t xml:space="preserve">«_______________________________»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и (или) </w:t>
      </w:r>
      <w:r>
        <w:rPr>
          <w:rFonts w:ascii="Times New Roman" w:hAnsi="Times New Roman"/>
          <w:spacing w:val="-4"/>
          <w:sz w:val="28"/>
          <w:szCs w:val="28"/>
        </w:rPr>
        <w:t xml:space="preserve">в отношении земельного участка с кадастровым номером </w:t>
      </w:r>
      <w:r>
        <w:rPr>
          <w:rFonts w:ascii="Times New Roman" w:hAnsi="Times New Roman"/>
          <w:i/>
          <w:iCs/>
          <w:spacing w:val="-4"/>
          <w:sz w:val="28"/>
          <w:szCs w:val="28"/>
        </w:rPr>
        <w:t xml:space="preserve">___________________</w:t>
      </w:r>
      <w:r>
        <w:rPr>
          <w:rFonts w:ascii="Times New Roman" w:hAnsi="Times New Roman"/>
          <w:spacing w:val="-4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/>
          <w:iCs/>
          <w:spacing w:val="-4"/>
          <w:sz w:val="28"/>
          <w:szCs w:val="28"/>
        </w:rPr>
        <w:t xml:space="preserve">________________</w:t>
      </w:r>
      <w:r>
        <w:rPr>
          <w:rFonts w:ascii="Times New Roman" w:hAnsi="Times New Roman"/>
          <w:iCs/>
          <w:spacing w:val="-4"/>
          <w:sz w:val="28"/>
          <w:szCs w:val="28"/>
        </w:rPr>
        <w:t xml:space="preserve">___________________________________________________________________</w:t>
      </w:r>
      <w:r>
        <w:rPr>
          <w:rFonts w:ascii="Times New Roman" w:hAnsi="Times New Roman"/>
          <w:iCs/>
          <w:spacing w:val="-4"/>
          <w:sz w:val="28"/>
          <w:szCs w:val="28"/>
        </w:rPr>
        <w:t xml:space="preserve">____________________________________________________ </w:t>
      </w:r>
      <w:r>
        <w:rPr>
          <w:rFonts w:ascii="Times New Roman" w:hAnsi="Times New Roman"/>
          <w:iCs/>
          <w:spacing w:val="-4"/>
          <w:sz w:val="28"/>
          <w:szCs w:val="28"/>
        </w:rPr>
      </w:r>
      <w:r>
        <w:rPr>
          <w:rFonts w:ascii="Times New Roman" w:hAnsi="Times New Roman"/>
          <w:iCs/>
          <w:spacing w:val="-4"/>
          <w:sz w:val="28"/>
          <w:szCs w:val="28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/>
          <w:i/>
          <w:iCs/>
          <w:spacing w:val="-4"/>
          <w:sz w:val="20"/>
          <w:szCs w:val="20"/>
        </w:rPr>
      </w:pPr>
      <w:r>
        <w:rPr>
          <w:rFonts w:ascii="Times New Roman" w:hAnsi="Times New Roman"/>
          <w:i/>
          <w:iCs/>
          <w:spacing w:val="-4"/>
          <w:sz w:val="20"/>
          <w:szCs w:val="20"/>
        </w:rPr>
        <w:t xml:space="preserve">(указывается адрес)</w:t>
      </w:r>
      <w:r>
        <w:rPr>
          <w:rFonts w:ascii="Times New Roman" w:hAnsi="Times New Roman"/>
          <w:i/>
          <w:iCs/>
          <w:spacing w:val="-4"/>
          <w:sz w:val="20"/>
          <w:szCs w:val="20"/>
        </w:rPr>
      </w:r>
      <w:r>
        <w:rPr>
          <w:rFonts w:ascii="Times New Roman" w:hAnsi="Times New Roman"/>
          <w:i/>
          <w:iCs/>
          <w:spacing w:val="-4"/>
          <w:sz w:val="20"/>
          <w:szCs w:val="20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/>
          <w:iCs/>
          <w:spacing w:val="-4"/>
          <w:szCs w:val="28"/>
        </w:rPr>
      </w:pPr>
      <w:r>
        <w:rPr>
          <w:rFonts w:ascii="Times New Roman" w:hAnsi="Times New Roman"/>
          <w:iCs/>
          <w:spacing w:val="-4"/>
          <w:sz w:val="28"/>
          <w:szCs w:val="28"/>
        </w:rPr>
        <w:t xml:space="preserve">_______________</w:t>
      </w:r>
      <w:r>
        <w:rPr>
          <w:rFonts w:ascii="Times New Roman" w:hAnsi="Times New Roman"/>
          <w:iCs/>
          <w:spacing w:val="-4"/>
          <w:sz w:val="28"/>
          <w:szCs w:val="28"/>
        </w:rPr>
        <w:t xml:space="preserve">____________________________________________________________________</w:t>
      </w:r>
      <w:r>
        <w:rPr>
          <w:rFonts w:ascii="Times New Roman" w:hAnsi="Times New Roman"/>
          <w:iCs/>
          <w:spacing w:val="-4"/>
          <w:sz w:val="28"/>
          <w:szCs w:val="28"/>
        </w:rPr>
        <w:t xml:space="preserve">_______________________________________________ .</w:t>
      </w:r>
      <w:r>
        <w:rPr>
          <w:rFonts w:ascii="Times New Roman" w:hAnsi="Times New Roman"/>
          <w:iCs/>
          <w:spacing w:val="-4"/>
          <w:szCs w:val="28"/>
        </w:rPr>
      </w:r>
      <w:r>
        <w:rPr>
          <w:rFonts w:ascii="Times New Roman" w:hAnsi="Times New Roman"/>
          <w:iCs/>
          <w:spacing w:val="-4"/>
          <w:szCs w:val="28"/>
        </w:rPr>
      </w:r>
    </w:p>
    <w:p>
      <w:pPr>
        <w:jc w:val="both"/>
        <w:spacing w:after="120"/>
        <w:tabs>
          <w:tab w:val="left" w:pos="709" w:leader="none"/>
        </w:tabs>
        <w:rPr>
          <w:rFonts w:ascii="Times New Roman" w:hAnsi="Times New Roman"/>
          <w:i/>
          <w:iCs/>
          <w:spacing w:val="-4"/>
          <w:sz w:val="20"/>
          <w:szCs w:val="20"/>
        </w:rPr>
      </w:pPr>
      <w:r>
        <w:rPr>
          <w:rFonts w:ascii="Times New Roman" w:hAnsi="Times New Roman"/>
          <w:i/>
          <w:iCs/>
          <w:spacing w:val="-4"/>
          <w:sz w:val="20"/>
          <w:szCs w:val="20"/>
        </w:rPr>
        <w:t xml:space="preserve">(указывается наименование предельного параметра и показатель предоставляемого отклонения)</w:t>
      </w:r>
      <w:r>
        <w:rPr>
          <w:rFonts w:ascii="Times New Roman" w:hAnsi="Times New Roman"/>
          <w:i/>
          <w:iCs/>
          <w:spacing w:val="-4"/>
          <w:sz w:val="20"/>
          <w:szCs w:val="20"/>
        </w:rPr>
      </w:r>
      <w:r>
        <w:rPr>
          <w:rFonts w:ascii="Times New Roman" w:hAnsi="Times New Roman"/>
          <w:i/>
          <w:iCs/>
          <w:spacing w:val="-4"/>
          <w:sz w:val="20"/>
          <w:szCs w:val="20"/>
        </w:rPr>
      </w:r>
    </w:p>
    <w:p>
      <w:pPr>
        <w:spacing w:after="120" w:line="235" w:lineRule="auto"/>
        <w:tabs>
          <w:tab w:val="left" w:pos="709" w:leader="none"/>
        </w:tabs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</w:r>
      <w:r>
        <w:rPr>
          <w:rFonts w:ascii="Times New Roman" w:hAnsi="Times New Roman"/>
          <w:spacing w:val="-4"/>
          <w:sz w:val="28"/>
          <w:szCs w:val="28"/>
        </w:rPr>
      </w:r>
      <w:r>
        <w:rPr>
          <w:rFonts w:ascii="Times New Roman" w:hAnsi="Times New Roman"/>
          <w:spacing w:val="-4"/>
          <w:sz w:val="28"/>
          <w:szCs w:val="28"/>
        </w:rPr>
      </w:r>
    </w:p>
    <w:p>
      <w:pPr>
        <w:ind w:firstLine="709"/>
        <w:spacing w:after="120" w:line="235" w:lineRule="auto"/>
        <w:tabs>
          <w:tab w:val="left" w:pos="709" w:leader="none"/>
        </w:tabs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2. Опубликовать настоящее </w:t>
      </w:r>
      <w:r>
        <w:rPr>
          <w:rFonts w:ascii="Times New Roman" w:hAnsi="Times New Roman"/>
          <w:spacing w:val="-4"/>
          <w:sz w:val="28"/>
          <w:szCs w:val="28"/>
        </w:rPr>
        <w:t xml:space="preserve">решение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в</w:t>
      </w:r>
      <w:r>
        <w:rPr>
          <w:rFonts w:ascii="Times New Roman" w:hAnsi="Times New Roman"/>
          <w:spacing w:val="-4"/>
          <w:sz w:val="28"/>
          <w:szCs w:val="28"/>
        </w:rPr>
        <w:t xml:space="preserve"> «__________________________».</w:t>
      </w:r>
      <w:r>
        <w:rPr>
          <w:rFonts w:ascii="Times New Roman" w:hAnsi="Times New Roman"/>
          <w:spacing w:val="-4"/>
          <w:sz w:val="28"/>
          <w:szCs w:val="28"/>
        </w:rPr>
      </w:r>
      <w:r>
        <w:rPr>
          <w:rFonts w:ascii="Times New Roman" w:hAnsi="Times New Roman"/>
          <w:spacing w:val="-4"/>
          <w:sz w:val="28"/>
          <w:szCs w:val="28"/>
        </w:rPr>
      </w:r>
    </w:p>
    <w:p>
      <w:pPr>
        <w:ind w:right="-57"/>
        <w:spacing w:line="235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4. Настоящее решение вступает в силу после его официального опубликования.</w:t>
      </w:r>
      <w:r>
        <w:rPr>
          <w:rFonts w:ascii="Times New Roman" w:hAnsi="Times New Roman"/>
          <w:spacing w:val="-4"/>
          <w:sz w:val="28"/>
          <w:szCs w:val="28"/>
        </w:rPr>
      </w:r>
      <w:r>
        <w:rPr>
          <w:rFonts w:ascii="Times New Roman" w:hAnsi="Times New Roman"/>
          <w:spacing w:val="-4"/>
          <w:sz w:val="28"/>
          <w:szCs w:val="28"/>
        </w:rPr>
      </w:r>
    </w:p>
    <w:p>
      <w:pPr>
        <w:ind w:right="-57"/>
        <w:spacing w:line="235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5. Контроль за исполнением настоящего </w:t>
      </w:r>
      <w:r>
        <w:rPr>
          <w:rFonts w:ascii="Times New Roman" w:hAnsi="Times New Roman"/>
          <w:spacing w:val="-4"/>
          <w:sz w:val="28"/>
          <w:szCs w:val="28"/>
        </w:rPr>
        <w:t xml:space="preserve">решения</w:t>
      </w:r>
      <w:r>
        <w:rPr>
          <w:rFonts w:ascii="Times New Roman" w:hAnsi="Times New Roman"/>
          <w:spacing w:val="-4"/>
          <w:sz w:val="28"/>
          <w:szCs w:val="28"/>
        </w:rPr>
        <w:t xml:space="preserve"> возложить </w:t>
      </w:r>
      <w:r>
        <w:rPr>
          <w:rFonts w:ascii="Times New Roman" w:hAnsi="Times New Roman"/>
          <w:spacing w:val="-4"/>
          <w:sz w:val="28"/>
          <w:szCs w:val="28"/>
        </w:rPr>
        <w:t xml:space="preserve">на</w:t>
      </w:r>
      <w:r>
        <w:rPr>
          <w:rFonts w:ascii="Times New Roman" w:hAnsi="Times New Roman"/>
          <w:spacing w:val="-4"/>
          <w:sz w:val="28"/>
          <w:szCs w:val="28"/>
        </w:rPr>
        <w:t xml:space="preserve"> ____________________________________________________________________.</w:t>
      </w:r>
      <w:r>
        <w:rPr>
          <w:rFonts w:ascii="Times New Roman" w:hAnsi="Times New Roman"/>
          <w:spacing w:val="-4"/>
          <w:sz w:val="28"/>
          <w:szCs w:val="28"/>
        </w:rPr>
      </w:r>
      <w:r>
        <w:rPr>
          <w:rFonts w:ascii="Times New Roman" w:hAnsi="Times New Roman"/>
          <w:spacing w:val="-4"/>
          <w:sz w:val="28"/>
          <w:szCs w:val="28"/>
        </w:rPr>
      </w:r>
    </w:p>
    <w:p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местной администрации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left="5670"/>
        <w:jc w:val="center"/>
        <w:rPr>
          <w:rFonts w:ascii="Times New Roman" w:hAnsi="Times New Roman"/>
          <w:sz w:val="20"/>
          <w:szCs w:val="20"/>
        </w:rPr>
        <w:pBdr>
          <w:top w:val="single" w:color="000000" w:sz="4" w:space="0"/>
        </w:pBd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ind w:left="5670" w:firstLine="0"/>
        <w:jc w:val="center"/>
        <w:rPr>
          <w:rFonts w:ascii="Times New Roman" w:hAnsi="Times New Roman"/>
          <w:sz w:val="20"/>
          <w:szCs w:val="20"/>
        </w:rPr>
        <w:pBdr>
          <w:top w:val="single" w:color="000000" w:sz="4" w:space="0"/>
        </w:pBdr>
      </w:pPr>
      <w:r>
        <w:rPr>
          <w:rFonts w:ascii="Times New Roman" w:hAnsi="Times New Roman"/>
          <w:sz w:val="20"/>
          <w:szCs w:val="20"/>
        </w:rPr>
        <w:t xml:space="preserve">(подпись </w:t>
      </w:r>
      <w:r>
        <w:rPr>
          <w:rFonts w:ascii="Times New Roman" w:hAnsi="Times New Roman"/>
          <w:sz w:val="20"/>
          <w:szCs w:val="20"/>
        </w:rPr>
        <w:t xml:space="preserve">главы местной администрации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ind w:left="5670" w:firstLine="0"/>
        <w:jc w:val="center"/>
        <w:rPr>
          <w:rFonts w:ascii="Times New Roman" w:hAnsi="Times New Roman"/>
          <w:sz w:val="20"/>
          <w:szCs w:val="20"/>
        </w:rPr>
        <w:pBdr>
          <w:top w:val="single" w:color="000000" w:sz="4" w:space="0"/>
        </w:pBd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850" w:right="624" w:bottom="73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3"/>
    <w:next w:val="833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3"/>
    <w:next w:val="833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3"/>
    <w:next w:val="83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No Spacing"/>
    <w:basedOn w:val="833"/>
    <w:uiPriority w:val="1"/>
    <w:qFormat/>
    <w:pPr>
      <w:spacing w:after="0" w:line="240" w:lineRule="auto"/>
    </w:pPr>
  </w:style>
  <w:style w:type="paragraph" w:styleId="837">
    <w:name w:val="List Paragraph"/>
    <w:basedOn w:val="833"/>
    <w:uiPriority w:val="34"/>
    <w:qFormat/>
    <w:pPr>
      <w:contextualSpacing/>
      <w:ind w:left="720"/>
    </w:pPr>
  </w:style>
  <w:style w:type="character" w:styleId="838" w:default="1">
    <w:name w:val="Default Paragraph Font"/>
    <w:uiPriority w:val="1"/>
    <w:semiHidden/>
    <w:unhideWhenUsed/>
  </w:style>
  <w:style w:type="paragraph" w:styleId="839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character" w:styleId="840" w:customStyle="1">
    <w:name w:val="Internet link"/>
    <w:basedOn w:val="796"/>
    <w:qFormat/>
    <w:rPr>
      <w:color w:val="0000ff"/>
      <w:sz w:val="20"/>
      <w:u w:val="single"/>
    </w:rPr>
  </w:style>
  <w:style w:type="paragraph" w:styleId="841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docs.cntd.ru/document/902228011#A8I0NL" TargetMode="External"/><Relationship Id="rId10" Type="http://schemas.openxmlformats.org/officeDocument/2006/relationships/hyperlink" Target="https://login.consultant.ru/link/?req=doc&amp;amp;amp;amp;amp;amp;base=SPB&amp;amp;amp;amp;amp;amp;n=311791&amp;amp;amp;amp;amp;amp;dst=100657" TargetMode="External"/><Relationship Id="rId11" Type="http://schemas.openxmlformats.org/officeDocument/2006/relationships/hyperlink" Target="https://login.consultant.ru/link/?req=doc&amp;amp;amp;amp;amp;amp;base=LAW&amp;amp;amp;amp;amp;amp;n=494996&amp;amp;amp;amp;amp;amp;dst=427" TargetMode="External"/><Relationship Id="rId12" Type="http://schemas.openxmlformats.org/officeDocument/2006/relationships/hyperlink" Target="https://login.consultant.ru/link/?req=doc&amp;amp;amp;amp;amp;base=LAW&amp;amp;amp;amp;amp;n=508991&amp;amp;amp;amp;amp;dst=100209" TargetMode="External"/><Relationship Id="rId13" Type="http://schemas.openxmlformats.org/officeDocument/2006/relationships/hyperlink" Target="https://login.consultant.ru/link/?req=doc&amp;amp;amp;amp;amp;base=LAW&amp;amp;amp;amp;amp;n=494999&amp;amp;amp;amp;amp;dst=100189" TargetMode="External"/><Relationship Id="rId14" Type="http://schemas.openxmlformats.org/officeDocument/2006/relationships/hyperlink" Target="https://login.consultant.ru/link/?req=doc&amp;amp;amp;amp;amp;base=LAW&amp;amp;amp;amp;amp;n=494999&amp;amp;amp;amp;amp;dst=100202" TargetMode="External"/><Relationship Id="rId15" Type="http://schemas.openxmlformats.org/officeDocument/2006/relationships/hyperlink" Target="https://login.consultant.ru/link/?req=doc&amp;amp;amp;amp;amp;base=LAW&amp;amp;amp;amp;amp;n=494999&amp;amp;amp;amp;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naa_orlova</cp:lastModifiedBy>
  <cp:revision>7</cp:revision>
  <dcterms:modified xsi:type="dcterms:W3CDTF">2026-07-28T12:43:18Z</dcterms:modified>
</cp:coreProperties>
</file>